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618" w:rsidRPr="00AE1618" w:rsidRDefault="00AE1618" w:rsidP="00AE1618">
      <w:pPr>
        <w:widowControl w:val="0"/>
        <w:tabs>
          <w:tab w:val="left" w:pos="8460"/>
        </w:tabs>
        <w:suppressAutoHyphens/>
        <w:overflowPunct w:val="0"/>
        <w:spacing w:after="0" w:line="240" w:lineRule="auto"/>
        <w:jc w:val="right"/>
        <w:textAlignment w:val="baseline"/>
        <w:rPr>
          <w:rFonts w:ascii="Times New Roman" w:eastAsia="Times New Roman" w:hAnsi="Times New Roman" w:cs="Calibri"/>
          <w:b/>
          <w:kern w:val="1"/>
          <w:sz w:val="24"/>
          <w:szCs w:val="24"/>
          <w:lang w:eastAsia="ar-SA"/>
        </w:rPr>
      </w:pPr>
      <w:r w:rsidRPr="00AE1618">
        <w:rPr>
          <w:rFonts w:ascii="Times New Roman" w:eastAsia="Times New Roman" w:hAnsi="Times New Roman" w:cs="Calibri"/>
          <w:b/>
          <w:kern w:val="1"/>
          <w:lang w:eastAsia="ar-SA"/>
        </w:rPr>
        <w:t xml:space="preserve">Załącznik nr </w:t>
      </w:r>
      <w:r>
        <w:rPr>
          <w:rFonts w:ascii="Times New Roman" w:eastAsia="Times New Roman" w:hAnsi="Times New Roman" w:cs="Calibri"/>
          <w:b/>
          <w:kern w:val="1"/>
          <w:lang w:eastAsia="ar-SA"/>
        </w:rPr>
        <w:t>1-</w:t>
      </w:r>
      <w:r w:rsidR="00841D7B">
        <w:rPr>
          <w:rFonts w:ascii="Times New Roman" w:eastAsia="Times New Roman" w:hAnsi="Times New Roman" w:cs="Calibri"/>
          <w:b/>
          <w:kern w:val="1"/>
          <w:lang w:eastAsia="ar-SA"/>
        </w:rPr>
        <w:t>1</w:t>
      </w:r>
      <w:r w:rsidR="003831F5">
        <w:rPr>
          <w:rFonts w:ascii="Times New Roman" w:eastAsia="Times New Roman" w:hAnsi="Times New Roman" w:cs="Calibri"/>
          <w:b/>
          <w:kern w:val="1"/>
          <w:lang w:eastAsia="ar-SA"/>
        </w:rPr>
        <w:t>2</w:t>
      </w:r>
      <w:r w:rsidRPr="00AE1618">
        <w:rPr>
          <w:rFonts w:ascii="Times New Roman" w:eastAsia="Times New Roman" w:hAnsi="Times New Roman" w:cs="Calibri"/>
          <w:b/>
          <w:kern w:val="1"/>
          <w:lang w:eastAsia="ar-SA"/>
        </w:rPr>
        <w:t xml:space="preserve"> do SWZ</w:t>
      </w:r>
    </w:p>
    <w:p w:rsidR="00AE1618" w:rsidRDefault="00AE1618" w:rsidP="00AE1618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AE1618" w:rsidRDefault="00213254">
      <w:pPr>
        <w:rPr>
          <w:rFonts w:ascii="Times New Roman" w:hAnsi="Times New Roman" w:cs="Times New Roman"/>
          <w:b/>
          <w:sz w:val="20"/>
          <w:szCs w:val="20"/>
        </w:rPr>
      </w:pPr>
      <w:r w:rsidRPr="00213254">
        <w:rPr>
          <w:rFonts w:ascii="Times New Roman" w:hAnsi="Times New Roman" w:cs="Times New Roman"/>
          <w:b/>
          <w:sz w:val="20"/>
          <w:szCs w:val="20"/>
        </w:rPr>
        <w:t xml:space="preserve">Grupa </w:t>
      </w:r>
      <w:r w:rsidR="00841D7B">
        <w:rPr>
          <w:rFonts w:ascii="Times New Roman" w:hAnsi="Times New Roman" w:cs="Times New Roman"/>
          <w:b/>
          <w:sz w:val="20"/>
          <w:szCs w:val="20"/>
        </w:rPr>
        <w:t>1</w:t>
      </w:r>
      <w:r w:rsidR="003831F5">
        <w:rPr>
          <w:rFonts w:ascii="Times New Roman" w:hAnsi="Times New Roman" w:cs="Times New Roman"/>
          <w:b/>
          <w:sz w:val="20"/>
          <w:szCs w:val="20"/>
        </w:rPr>
        <w:t>2</w:t>
      </w:r>
      <w:r w:rsidRPr="00213254">
        <w:rPr>
          <w:rFonts w:ascii="Times New Roman" w:hAnsi="Times New Roman" w:cs="Times New Roman"/>
          <w:b/>
          <w:sz w:val="20"/>
          <w:szCs w:val="20"/>
        </w:rPr>
        <w:t xml:space="preserve">: </w:t>
      </w:r>
      <w:proofErr w:type="spellStart"/>
      <w:r w:rsidR="00510C89" w:rsidRPr="00510C89">
        <w:rPr>
          <w:rFonts w:ascii="Times New Roman" w:hAnsi="Times New Roman" w:cs="Times New Roman"/>
          <w:b/>
          <w:sz w:val="20"/>
          <w:szCs w:val="20"/>
        </w:rPr>
        <w:t>Histeroskop</w:t>
      </w:r>
      <w:proofErr w:type="spellEnd"/>
      <w:r w:rsidR="00510C89" w:rsidRPr="00510C89">
        <w:rPr>
          <w:rFonts w:ascii="Times New Roman" w:hAnsi="Times New Roman" w:cs="Times New Roman"/>
          <w:b/>
          <w:sz w:val="20"/>
          <w:szCs w:val="20"/>
        </w:rPr>
        <w:t xml:space="preserve"> operacyjny: (resektoskop) w zestawie z: torem wizyjnym, Pompa, Kolumna endoskopowa, Elektrokoagulacja mono i bipolarna -  2 zestawy</w:t>
      </w:r>
    </w:p>
    <w:p w:rsidR="00BD72F6" w:rsidRDefault="00BD72F6" w:rsidP="00BD72F6">
      <w:pPr>
        <w:spacing w:after="0"/>
        <w:rPr>
          <w:rFonts w:ascii="Times New Roman" w:hAnsi="Times New Roman" w:cs="Times New Roman"/>
          <w:sz w:val="10"/>
          <w:szCs w:val="10"/>
        </w:rPr>
      </w:pPr>
    </w:p>
    <w:tbl>
      <w:tblPr>
        <w:tblW w:w="1048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6379"/>
        <w:gridCol w:w="1275"/>
        <w:gridCol w:w="1985"/>
      </w:tblGrid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Wymagane parametry techniczne i funkcjonalne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Parametr wymagany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841D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Parametr oceniany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Sprzęt fabrycznie nowy, wyprodukowany nie wcześniej niż w 2025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Typ/model, producent, kraj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Monitor operacyjny FULL HD - 1 zestaw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Przekątna ekranu 27”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Rozdzielczość FULL HD 1920 x 1080p, 16:9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Mocowanie typu VESA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Sterownik kamery FULL HD - 1 zestaw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Sterownik kamery do obrazowania oraz dokumentowania zabiegów endoskopowych.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Sterownik wyposażony w dwa, różnego typu gniazda przyłączeniowe głowicy kamery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podłączenia głowicy kamery oraz endoskopów giętkich endoskopów cyfrowych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przełączania między d</w:t>
            </w:r>
            <w:r w:rsidR="000777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woma podłączonymi kamerami, bez </w:t>
            </w: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konieczności odłączania głowicy.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bezpośredniego podłączenia dedykowanych giętkich endoskopów jednorazowego użytku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Sterownik kamery wyposażony w min. 2 wyjścia cyfrowe wideo DVI-D (format sygnału 1920x1080p, 50/60 </w:t>
            </w:r>
            <w:proofErr w:type="spellStart"/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Hz</w:t>
            </w:r>
            <w:proofErr w:type="spellEnd"/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Wbudowany moduł archiwizacyjny.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Możliwość zapisu filmów oraz zdjęć w pamięci wewnętrznej oraz na zewnętrznym nośniku typu </w:t>
            </w:r>
            <w:proofErr w:type="spellStart"/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pendrive</w:t>
            </w:r>
            <w:proofErr w:type="spellEnd"/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Min. 4 gniazd USB  z czego  1 umieszczone na panelu przednim sterownika kamery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Pamięć wewnętrzna min. 45GB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</w:t>
            </w:r>
          </w:p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Waga urządzenia nie większa niż 3 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</w:t>
            </w:r>
          </w:p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Głowica kamery – 1 sztuka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Głowica kamery pracująca w rozdzielczości FULL HD 1920 x 1080 pikseli, progressive </w:t>
            </w:r>
            <w:proofErr w:type="spellStart"/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scan</w:t>
            </w:r>
            <w:proofErr w:type="spellEnd"/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16:9,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Głowica wyposażona w min. 1 przetwornik obrazowy CMOS lub CCD, kompatybilna ze sterownikiem kamery FULLHD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Dostępne min. 3 przyciski na głowicy kamery do obsługi funkcji kamery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</w:t>
            </w:r>
          </w:p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 2 programowalne przyciski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ostrości przy pomocy pierścienia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Funkcja zoom: cyfrowa lub optyczna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Waga głowicy 125g – 135g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Źródło światła LED - 1 zestaw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Źródło światła LED kompatybilne z oferowanym sterownikiem kamery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Żywotność diody LED min 30 000h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Temperatura barwowa 6400K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Wielodziedzinowa pompa ssąco/płucząca 50 / 60 </w:t>
            </w:r>
            <w:proofErr w:type="spellStart"/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Hz</w:t>
            </w:r>
            <w:proofErr w:type="spellEnd"/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rolkowa z oprogramowaniem dedykowanym do histeroskopii – 1 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Obsługa pompy poprzez kolorowy monitor dotykowy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Wybór zastosowania pompy z menu z listą dziedzin i  procedur wyświetlanej na monitorze dotykowym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Dren płuczący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Funkcja automatycznego rozpoznawania drenu wraz z automatyczną aktywacją procedur wykorzystujących dany dren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Regulacja ciśnienia płukania podczas histeroskopii w zakresie 20 - 150 </w:t>
            </w:r>
            <w:proofErr w:type="spellStart"/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mmHg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Wyświetlanie przepływu płukania w formie graficznej lub cyfrowej na monitorze dotykowym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rozbudowy pompy o programy do cystoskopii, otolaryngologii, artroskopii, laparoskopii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Animacja wyświetlana na monitorze dotykowym instruująca sposób zakładania drenu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 - 10 pkt.</w:t>
            </w:r>
          </w:p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 - 0 pkt.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Diatermia elektrochirurgiczna – 1 zestaw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Diatermia mono i bipolarna z funkcją zamykania dużych naczyń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Kolorowy ekran dotykowy do komunikacji z użytkownikiem o przekątnej min 10 cali, oprogramowanie w języku polskim.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C89">
              <w:rPr>
                <w:rFonts w:ascii="Times New Roman" w:eastAsia="Calibri" w:hAnsi="Times New Roman" w:cs="Times New Roman"/>
                <w:sz w:val="20"/>
                <w:szCs w:val="20"/>
              </w:rPr>
              <w:t>10 cali – 0 pkt</w:t>
            </w:r>
          </w:p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 10 cali – 5 pkt</w:t>
            </w:r>
          </w:p>
        </w:tc>
      </w:tr>
      <w:tr w:rsidR="00510C89" w:rsidRPr="00510C89" w:rsidTr="00510C89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Możliwość diagnozowania oraz wgrywania dostępnego oprogramowania przez sieć </w:t>
            </w:r>
            <w:proofErr w:type="spellStart"/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WiFi</w:t>
            </w:r>
            <w:proofErr w:type="spellEnd"/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zapamiętania minimum 100 programów i zapisania ich pod nazwą użytkownika lub procedury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</w:t>
            </w:r>
          </w:p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C89">
              <w:rPr>
                <w:rFonts w:ascii="Times New Roman" w:eastAsia="Calibri" w:hAnsi="Times New Roman" w:cs="Times New Roman"/>
                <w:sz w:val="20"/>
                <w:szCs w:val="20"/>
              </w:rPr>
              <w:t>100 programów – 0 pkt</w:t>
            </w:r>
          </w:p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 100 programów – 5 pkt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Wyłącznik nożny dwupedałowy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Możliwość zmiany programu przez operatora w czasie zabiegu z uchwytu </w:t>
            </w:r>
            <w:proofErr w:type="spellStart"/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monopolarnego</w:t>
            </w:r>
            <w:proofErr w:type="spellEnd"/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 pomocą kombinacji przycisków cięcie/koagulacja oraz wyłącznika nożnego posiadającego przycisk zmiany programów oraz z ekranu diatermii. Możliwość zmiany min 6 wcześniej zaprogramowanych nastaw za pomocą standardowego (dwuprzyciskowego) uchwytu </w:t>
            </w:r>
            <w:proofErr w:type="spellStart"/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monopolarnego</w:t>
            </w:r>
            <w:proofErr w:type="spellEnd"/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oraz wyłącznika nożnego i z ekranu urządzenia.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Sterowanie urządzenia za pomocą efektów tkankowych. Urządzenie powinno dozować moc i inne parametry prądu w całkowicie automatyczny sposób tak aby był zachowany nastawiony efekt tkankowy. Nie dopuszcza się możliwości regulacji aparatu przez nastawianie mocy wyjściowej.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C89">
              <w:rPr>
                <w:rFonts w:ascii="Times New Roman" w:eastAsia="Calibri" w:hAnsi="Times New Roman" w:cs="Times New Roman"/>
                <w:sz w:val="20"/>
                <w:szCs w:val="20"/>
              </w:rPr>
              <w:t>Funkcja zamykania dużych naczyń z automatycznym startem po prawidłowej aplikacji instrumentu z regulowanym czasem zwłoki oraz automatycznym wyłączeniem po osiągnięciu zamknięcia naczyń.</w:t>
            </w:r>
          </w:p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Warunkiem koniecznym jest możliwość aktywacji narzędzi do zamykania dużych naczyń w tzw. Autostarcie oraz z wyłącznika nożnego i rękojeści jeśli posiadają do tego celu odpowiednie przyciski.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Możliwość używania jednocześnie 2 instrumentów </w:t>
            </w:r>
            <w:proofErr w:type="spellStart"/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monopolarnych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C89">
              <w:rPr>
                <w:rFonts w:ascii="Times New Roman" w:eastAsia="Calibri" w:hAnsi="Times New Roman" w:cs="Times New Roman"/>
                <w:sz w:val="20"/>
                <w:szCs w:val="20"/>
              </w:rPr>
              <w:t>TAK – 5 pkt</w:t>
            </w:r>
          </w:p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 – 0 pkt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Moc cięcia </w:t>
            </w:r>
            <w:proofErr w:type="spellStart"/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monopolarnego</w:t>
            </w:r>
            <w:proofErr w:type="spellEnd"/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min 400W z możliwością nastawienia min 10 efektów tkankowych.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Elektroda koagulacyjna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Moc koagulacji </w:t>
            </w:r>
            <w:proofErr w:type="spellStart"/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monopolarnej</w:t>
            </w:r>
            <w:proofErr w:type="spellEnd"/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min 240 W z możliwością nastawienia min 10 efektów tkankowych.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Cięcie bipolarne z mocą min 400W z możliwością nastawienia min 10 efektów tkankowych.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Moc koagulacji bipolarnej min 200 W z możliwością nastawienia min 10 efektów tkankowych.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 zamykania dużych naczyń z mocą min 350W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współpracy z resektoskopami bipolarnymi, aparat musi posiadać dedykowane prądy do cięcia i koagulacji z automatycznym rozpoznawaniem resektoskopu i nastawianiem dla niego optymalnych parametrów pracy.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Minimum 5 rodzajów cięcia </w:t>
            </w:r>
            <w:proofErr w:type="spellStart"/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monopolarnego</w:t>
            </w:r>
            <w:proofErr w:type="spellEnd"/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min 5 rodzajów koagulacji </w:t>
            </w:r>
            <w:proofErr w:type="spellStart"/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monopolarnej</w:t>
            </w:r>
            <w:proofErr w:type="spellEnd"/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min 2 rodzaje cięcia bipolarnego i min 2 rodzajów koagulacji bipolarnej, każdy z tych prądów powinien posiadać możliwość nastawienia min 10 efektów tkankowych.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wymiany gniazd przyłączeniowych na gniazda o innych standardach wtyków przez użytkownika na sali operacyjnej bez konieczności działań serwisowych.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C89">
              <w:rPr>
                <w:rFonts w:ascii="Times New Roman" w:eastAsia="Calibri" w:hAnsi="Times New Roman" w:cs="Times New Roman"/>
                <w:sz w:val="20"/>
                <w:szCs w:val="20"/>
              </w:rPr>
              <w:t>TAK – 5 pkt</w:t>
            </w:r>
          </w:p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 – 0 pkt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Minimum 3 gniazda umożliwiające podłączanie instrumentów mono i bipolarnych oraz 1 gniazdo elektrody neutralnej.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współpracy z przystawka argonową obsługiwana z ekranu diatermii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Wózek aparaturowy - 1 zestaw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Podstawa wyposażona w 4 antystatyczne koła z blokadą na 2 kołach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Min. 3 półki oraz 1 szuflada zamykana na kluczyk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Wysięgnik do monitora z uchwytem maks. obciążenie 18 kg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Histeroskop</w:t>
            </w:r>
            <w:proofErr w:type="spellEnd"/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operacyjny bipolarny – 2 zestawy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Płaszcz </w:t>
            </w:r>
            <w:proofErr w:type="spellStart"/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histeroskopu</w:t>
            </w:r>
            <w:proofErr w:type="spellEnd"/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obrotowy, przepływowy, rozmiar</w:t>
            </w:r>
          </w:p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22 Fr., składający się z płaszcza zewnętrznego i wewnętrznego z ukośną końcówką ceramiczną, mocowanie pomiędzy płaszczem zewnętrznym i wewnętrznym na "klik", mocowanie do elementu pracującego obrotowe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Obturator standardowy</w:t>
            </w: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kompatybilny z płaszczem  22 Fr.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Optyka </w:t>
            </w: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oparta na systemie soczewek wałeczkowych, kąt patrzenia 12°, śr. </w:t>
            </w: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4 mm, dł. 30 cm</w:t>
            </w: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autoklawowalna</w:t>
            </w:r>
            <w:proofErr w:type="spellEnd"/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Optyka opatrzona słowną informacją potwierdzającą </w:t>
            </w:r>
            <w:proofErr w:type="spellStart"/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autoklawowalność</w:t>
            </w:r>
            <w:proofErr w:type="spellEnd"/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oraz nadrukowanym kodem DATA MATRIX z zakodowanym min. numerem katalogowym i numerem seryjnym optyki. Nadrukowane na obudowie optyki oznaczenie w postaci graficznej średnicy kompatybilnego światłowodu.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Element pracujący resektoskopu</w:t>
            </w: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bipolarnego bierny, wykorzystujący dwubiegunowe elektrody i technikę w pełni bipolarną niewymagającą zaangażowania </w:t>
            </w: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płaszcza resektoskopu</w:t>
            </w: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jako części obwodu przepływu prądu HF, wyposażony w zamknięte uchwyty na palce oraz obrotowe mocowanie do płaszcza i optyki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Zestaw elektrod bipolarnych min 20 szt.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</w:t>
            </w:r>
          </w:p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Pętla tnąca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Światłowód,</w:t>
            </w: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śr. 3,5 mm, dł. 230 cm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0F4F93">
        <w:trPr>
          <w:trHeight w:val="1121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Pojemnik plastikowy do sterylizacji i przechowywania</w:t>
            </w: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instrumentów,</w:t>
            </w: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pokrywa pojemnika przeźroczysta – perforowana, dno pojemnik perforowane, pojemnik wysłany matą silikonową, wymiary zewn. 525x240x70mm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0F4F93" w:rsidRPr="00510C89" w:rsidTr="000F4F93">
        <w:trPr>
          <w:trHeight w:val="356"/>
          <w:jc w:val="center"/>
        </w:trPr>
        <w:tc>
          <w:tcPr>
            <w:tcW w:w="8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4F93" w:rsidRPr="00510C89" w:rsidRDefault="000F4F93" w:rsidP="00D763E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10C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Maksymalna ilość punktów jaką można uzyskać za oferowane parametry: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4F93" w:rsidRPr="00510C89" w:rsidRDefault="000F4F93" w:rsidP="00D763E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10C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30 pkt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10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Inne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Oznakowanie CE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Wyrób medyczny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0F4F93">
        <w:trPr>
          <w:trHeight w:val="361"/>
          <w:jc w:val="center"/>
        </w:trPr>
        <w:tc>
          <w:tcPr>
            <w:tcW w:w="10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Warunki gwarancji i serwisu: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Okres gwarancji min. 24 miesiące na cały zestaw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7B2" w:rsidRDefault="006A17B2" w:rsidP="006A17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TAK</w:t>
            </w:r>
          </w:p>
          <w:p w:rsidR="00510C89" w:rsidRPr="00510C89" w:rsidRDefault="006A17B2" w:rsidP="006A17B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(podać w Formularzu ofertowym)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BD72F6" w:rsidRDefault="00510C89" w:rsidP="00510C8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 miesięcy –</w:t>
            </w:r>
          </w:p>
          <w:p w:rsidR="00510C89" w:rsidRPr="00BD72F6" w:rsidRDefault="00510C89" w:rsidP="00510C8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 pkt</w:t>
            </w:r>
          </w:p>
          <w:p w:rsidR="00510C89" w:rsidRPr="00BD72F6" w:rsidRDefault="00510C89" w:rsidP="00510C8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 miesięcy –</w:t>
            </w:r>
          </w:p>
          <w:p w:rsidR="00510C89" w:rsidRPr="00510C89" w:rsidRDefault="00510C89" w:rsidP="00510C8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 pkt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Przeglądy wg zaleceń producenta w trakcie trwania gwarancji wraz ze wszystkimi częściami i materiałami niezbędnymi do wykonania przeglądu na koszt Wykonawcy.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TAK,</w:t>
            </w:r>
          </w:p>
          <w:p w:rsidR="00510C89" w:rsidRPr="00510C89" w:rsidRDefault="00510C89" w:rsidP="00510C8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podać liczbę wymaganych dla bezpiecznej pracy urządzeń przeglądów okresowych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Wykonawca gwarantuje sprzedaż części zamiennych przez okres 10 lat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510C89" w:rsidRPr="00510C89" w:rsidTr="00510C89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Instrukcja obsługi w języku polskim (dostarczyć wraz z urządzeniem) – wersja elektroniczna i papierowa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10C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0C89" w:rsidRPr="00510C89" w:rsidRDefault="00510C89" w:rsidP="00510C8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</w:tbl>
    <w:p w:rsidR="00510C89" w:rsidRDefault="00510C89" w:rsidP="00BD72F6">
      <w:pPr>
        <w:spacing w:after="0"/>
        <w:rPr>
          <w:rFonts w:ascii="Times New Roman" w:hAnsi="Times New Roman" w:cs="Times New Roman"/>
          <w:sz w:val="10"/>
          <w:szCs w:val="10"/>
        </w:rPr>
      </w:pPr>
    </w:p>
    <w:p w:rsidR="00510C89" w:rsidRDefault="00510C89" w:rsidP="00BD72F6">
      <w:pPr>
        <w:spacing w:after="0"/>
        <w:rPr>
          <w:rFonts w:ascii="Times New Roman" w:hAnsi="Times New Roman" w:cs="Times New Roman"/>
          <w:sz w:val="10"/>
          <w:szCs w:val="10"/>
        </w:rPr>
      </w:pPr>
    </w:p>
    <w:p w:rsidR="00510C89" w:rsidRDefault="00510C89" w:rsidP="00BD72F6">
      <w:pPr>
        <w:spacing w:after="0"/>
        <w:rPr>
          <w:rFonts w:ascii="Times New Roman" w:hAnsi="Times New Roman" w:cs="Times New Roman"/>
          <w:sz w:val="10"/>
          <w:szCs w:val="10"/>
        </w:rPr>
      </w:pPr>
    </w:p>
    <w:p w:rsidR="00510C89" w:rsidRDefault="00510C89" w:rsidP="00BD72F6">
      <w:pPr>
        <w:spacing w:after="0"/>
        <w:rPr>
          <w:rFonts w:ascii="Times New Roman" w:hAnsi="Times New Roman" w:cs="Times New Roman"/>
          <w:sz w:val="10"/>
          <w:szCs w:val="10"/>
        </w:rPr>
      </w:pPr>
    </w:p>
    <w:sectPr w:rsidR="00510C8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254" w:rsidRDefault="00213254" w:rsidP="009B1A4F">
      <w:pPr>
        <w:spacing w:after="0" w:line="240" w:lineRule="auto"/>
      </w:pPr>
      <w:r>
        <w:separator/>
      </w:r>
    </w:p>
  </w:endnote>
  <w:endnote w:type="continuationSeparator" w:id="0">
    <w:p w:rsidR="00213254" w:rsidRDefault="00213254" w:rsidP="009B1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1595050141"/>
      <w:docPartObj>
        <w:docPartGallery w:val="Page Numbers (Bottom of Page)"/>
        <w:docPartUnique/>
      </w:docPartObj>
    </w:sdtPr>
    <w:sdtEndPr/>
    <w:sdtContent>
      <w:p w:rsidR="00213254" w:rsidRPr="009B1A4F" w:rsidRDefault="00213254">
        <w:pPr>
          <w:pStyle w:val="Stopka"/>
          <w:jc w:val="center"/>
          <w:rPr>
            <w:rFonts w:ascii="Times New Roman" w:hAnsi="Times New Roman" w:cs="Times New Roman"/>
          </w:rPr>
        </w:pPr>
        <w:r w:rsidRPr="009B1A4F">
          <w:rPr>
            <w:rFonts w:ascii="Times New Roman" w:hAnsi="Times New Roman" w:cs="Times New Roman"/>
          </w:rPr>
          <w:fldChar w:fldCharType="begin"/>
        </w:r>
        <w:r w:rsidRPr="009B1A4F">
          <w:rPr>
            <w:rFonts w:ascii="Times New Roman" w:hAnsi="Times New Roman" w:cs="Times New Roman"/>
          </w:rPr>
          <w:instrText>PAGE   \* MERGEFORMAT</w:instrText>
        </w:r>
        <w:r w:rsidRPr="009B1A4F">
          <w:rPr>
            <w:rFonts w:ascii="Times New Roman" w:hAnsi="Times New Roman" w:cs="Times New Roman"/>
          </w:rPr>
          <w:fldChar w:fldCharType="separate"/>
        </w:r>
        <w:r w:rsidR="003831F5">
          <w:rPr>
            <w:rFonts w:ascii="Times New Roman" w:hAnsi="Times New Roman" w:cs="Times New Roman"/>
            <w:noProof/>
          </w:rPr>
          <w:t>5</w:t>
        </w:r>
        <w:r w:rsidRPr="009B1A4F">
          <w:rPr>
            <w:rFonts w:ascii="Times New Roman" w:hAnsi="Times New Roman" w:cs="Times New Roman"/>
          </w:rPr>
          <w:fldChar w:fldCharType="end"/>
        </w:r>
      </w:p>
    </w:sdtContent>
  </w:sdt>
  <w:p w:rsidR="00213254" w:rsidRPr="009B1A4F" w:rsidRDefault="00213254" w:rsidP="009B1A4F">
    <w:pPr>
      <w:pStyle w:val="Stopka"/>
      <w:rPr>
        <w:rFonts w:ascii="Times New Roman" w:hAnsi="Times New Roman" w:cs="Times New Roman"/>
      </w:rPr>
    </w:pPr>
    <w:r w:rsidRPr="009B1A4F">
      <w:rPr>
        <w:rFonts w:ascii="Times New Roman" w:hAnsi="Times New Roman" w:cs="Times New Roman"/>
        <w:sz w:val="18"/>
        <w:szCs w:val="18"/>
      </w:rPr>
      <w:t xml:space="preserve">Przedmiotowa dostawa finansowana jest w ramach projektu </w:t>
    </w:r>
    <w:proofErr w:type="spellStart"/>
    <w:r w:rsidRPr="009B1A4F">
      <w:rPr>
        <w:rFonts w:ascii="Times New Roman" w:hAnsi="Times New Roman" w:cs="Times New Roman"/>
        <w:sz w:val="18"/>
        <w:szCs w:val="18"/>
      </w:rPr>
      <w:t>pn</w:t>
    </w:r>
    <w:proofErr w:type="spellEnd"/>
    <w:r w:rsidRPr="009B1A4F">
      <w:rPr>
        <w:rFonts w:ascii="Times New Roman" w:hAnsi="Times New Roman" w:cs="Times New Roman"/>
        <w:sz w:val="18"/>
        <w:szCs w:val="18"/>
      </w:rPr>
      <w:t>: "Zakup urządzeń i wyrobów medycznych niezbędnych do realizacji świadczeń w zakresie diagnostyki i leczenia onkologicznego na poziomie SOLO I w Szpitalu Specjalistycznym im. Edmunda Biernackiego w Mielcu" w ramach Krajowego Planu Odbudowy i Zwiększania Odporności – komponentu D „Efektywność, dostępność i jakość systemu ochrony zdrowia” będącego elementem Inwestycji Inwestycja D1.1.1 „Rozwój i modernizacja infrastruktury centrów opieki wysokospecjalistycznej i innych podmiotów leczniczych”</w:t>
    </w:r>
  </w:p>
  <w:p w:rsidR="00213254" w:rsidRPr="009B1A4F" w:rsidRDefault="00213254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254" w:rsidRDefault="00213254" w:rsidP="009B1A4F">
      <w:pPr>
        <w:spacing w:after="0" w:line="240" w:lineRule="auto"/>
      </w:pPr>
      <w:r>
        <w:separator/>
      </w:r>
    </w:p>
  </w:footnote>
  <w:footnote w:type="continuationSeparator" w:id="0">
    <w:p w:rsidR="00213254" w:rsidRDefault="00213254" w:rsidP="009B1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254" w:rsidRDefault="00213254" w:rsidP="009B1A4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9977F97" wp14:editId="140679F5">
          <wp:extent cx="5324475" cy="1114425"/>
          <wp:effectExtent l="19050" t="0" r="9525" b="0"/>
          <wp:docPr id="6" name="Obraz 6" descr="C:\Users\Point\Downloads\Projekt bez nazwy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int\Downloads\Projekt bez nazwy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60D6B"/>
    <w:multiLevelType w:val="hybridMultilevel"/>
    <w:tmpl w:val="0A8E433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EA17BA6"/>
    <w:multiLevelType w:val="hybridMultilevel"/>
    <w:tmpl w:val="5702752C"/>
    <w:lvl w:ilvl="0" w:tplc="83107182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876D98"/>
    <w:multiLevelType w:val="hybridMultilevel"/>
    <w:tmpl w:val="4A7030FE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2B23149"/>
    <w:multiLevelType w:val="multilevel"/>
    <w:tmpl w:val="295287A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255C6FF3"/>
    <w:multiLevelType w:val="hybridMultilevel"/>
    <w:tmpl w:val="669E17FA"/>
    <w:lvl w:ilvl="0" w:tplc="4D3E986C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66B6C4A"/>
    <w:multiLevelType w:val="hybridMultilevel"/>
    <w:tmpl w:val="C6344E62"/>
    <w:lvl w:ilvl="0" w:tplc="959AA964">
      <w:start w:val="1"/>
      <w:numFmt w:val="decimal"/>
      <w:lvlText w:val="%1."/>
      <w:lvlJc w:val="left"/>
      <w:pPr>
        <w:ind w:left="1495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>
    <w:nsid w:val="3A062CAE"/>
    <w:multiLevelType w:val="multilevel"/>
    <w:tmpl w:val="9134FB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7">
    <w:nsid w:val="43170F0D"/>
    <w:multiLevelType w:val="hybridMultilevel"/>
    <w:tmpl w:val="1364351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34B4EF3"/>
    <w:multiLevelType w:val="hybridMultilevel"/>
    <w:tmpl w:val="53184BA8"/>
    <w:lvl w:ilvl="0" w:tplc="BD04F50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4104FB9"/>
    <w:multiLevelType w:val="hybridMultilevel"/>
    <w:tmpl w:val="FF90BB8A"/>
    <w:lvl w:ilvl="0" w:tplc="4F721A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E942E8"/>
    <w:multiLevelType w:val="hybridMultilevel"/>
    <w:tmpl w:val="1BA4AFFA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FD15D51"/>
    <w:multiLevelType w:val="hybridMultilevel"/>
    <w:tmpl w:val="6194C35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37E4819"/>
    <w:multiLevelType w:val="hybridMultilevel"/>
    <w:tmpl w:val="3656E8BE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6182638"/>
    <w:multiLevelType w:val="multilevel"/>
    <w:tmpl w:val="B5C4CE8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5BEA77CD"/>
    <w:multiLevelType w:val="multilevel"/>
    <w:tmpl w:val="94B8DC3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5BEB1B2B"/>
    <w:multiLevelType w:val="hybridMultilevel"/>
    <w:tmpl w:val="E59662C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82057B0"/>
    <w:multiLevelType w:val="hybridMultilevel"/>
    <w:tmpl w:val="9FE2264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8345F37"/>
    <w:multiLevelType w:val="multilevel"/>
    <w:tmpl w:val="1D50F61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>
    <w:nsid w:val="69400EED"/>
    <w:multiLevelType w:val="hybridMultilevel"/>
    <w:tmpl w:val="AB626C4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ED236EC"/>
    <w:multiLevelType w:val="hybridMultilevel"/>
    <w:tmpl w:val="51D01DE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0CE6832"/>
    <w:multiLevelType w:val="hybridMultilevel"/>
    <w:tmpl w:val="6CC2E5F2"/>
    <w:lvl w:ilvl="0" w:tplc="AC966176">
      <w:start w:val="1"/>
      <w:numFmt w:val="decimal"/>
      <w:lvlText w:val="%1."/>
      <w:lvlJc w:val="left"/>
      <w:pPr>
        <w:ind w:left="1211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292265D"/>
    <w:multiLevelType w:val="hybridMultilevel"/>
    <w:tmpl w:val="E11A4D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3764938"/>
    <w:multiLevelType w:val="hybridMultilevel"/>
    <w:tmpl w:val="6A6C2C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7DD26C2"/>
    <w:multiLevelType w:val="hybridMultilevel"/>
    <w:tmpl w:val="2D40394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8F9332E"/>
    <w:multiLevelType w:val="multilevel"/>
    <w:tmpl w:val="31D41E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>
    <w:nsid w:val="7A463264"/>
    <w:multiLevelType w:val="hybridMultilevel"/>
    <w:tmpl w:val="D96805DA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BA95ACB"/>
    <w:multiLevelType w:val="hybridMultilevel"/>
    <w:tmpl w:val="C72C7D4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>
    <w:nsid w:val="7E0B389A"/>
    <w:multiLevelType w:val="multilevel"/>
    <w:tmpl w:val="5884195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5"/>
  </w:num>
  <w:num w:numId="2">
    <w:abstractNumId w:val="3"/>
  </w:num>
  <w:num w:numId="3">
    <w:abstractNumId w:val="17"/>
  </w:num>
  <w:num w:numId="4">
    <w:abstractNumId w:val="13"/>
  </w:num>
  <w:num w:numId="5">
    <w:abstractNumId w:val="20"/>
  </w:num>
  <w:num w:numId="6">
    <w:abstractNumId w:val="9"/>
  </w:num>
  <w:num w:numId="7">
    <w:abstractNumId w:val="21"/>
  </w:num>
  <w:num w:numId="8">
    <w:abstractNumId w:val="0"/>
  </w:num>
  <w:num w:numId="9">
    <w:abstractNumId w:val="2"/>
  </w:num>
  <w:num w:numId="10">
    <w:abstractNumId w:val="10"/>
  </w:num>
  <w:num w:numId="11">
    <w:abstractNumId w:val="16"/>
  </w:num>
  <w:num w:numId="12">
    <w:abstractNumId w:val="23"/>
  </w:num>
  <w:num w:numId="13">
    <w:abstractNumId w:val="19"/>
  </w:num>
  <w:num w:numId="14">
    <w:abstractNumId w:val="11"/>
  </w:num>
  <w:num w:numId="15">
    <w:abstractNumId w:val="22"/>
  </w:num>
  <w:num w:numId="16">
    <w:abstractNumId w:val="15"/>
  </w:num>
  <w:num w:numId="17">
    <w:abstractNumId w:val="14"/>
  </w:num>
  <w:num w:numId="18">
    <w:abstractNumId w:val="27"/>
  </w:num>
  <w:num w:numId="19">
    <w:abstractNumId w:val="24"/>
  </w:num>
  <w:num w:numId="20">
    <w:abstractNumId w:val="7"/>
  </w:num>
  <w:num w:numId="21">
    <w:abstractNumId w:val="26"/>
  </w:num>
  <w:num w:numId="22">
    <w:abstractNumId w:val="4"/>
  </w:num>
  <w:num w:numId="23">
    <w:abstractNumId w:val="25"/>
  </w:num>
  <w:num w:numId="24">
    <w:abstractNumId w:val="18"/>
  </w:num>
  <w:num w:numId="25">
    <w:abstractNumId w:val="12"/>
  </w:num>
  <w:num w:numId="26">
    <w:abstractNumId w:val="6"/>
  </w:num>
  <w:num w:numId="27">
    <w:abstractNumId w:val="8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18"/>
    <w:rsid w:val="0007771E"/>
    <w:rsid w:val="000F4F93"/>
    <w:rsid w:val="00146ED6"/>
    <w:rsid w:val="001C396B"/>
    <w:rsid w:val="001D52A7"/>
    <w:rsid w:val="001E077D"/>
    <w:rsid w:val="00213254"/>
    <w:rsid w:val="003831F5"/>
    <w:rsid w:val="003A2608"/>
    <w:rsid w:val="00402E6A"/>
    <w:rsid w:val="0047013E"/>
    <w:rsid w:val="00510C89"/>
    <w:rsid w:val="005470B4"/>
    <w:rsid w:val="0056592A"/>
    <w:rsid w:val="006757C2"/>
    <w:rsid w:val="006779B2"/>
    <w:rsid w:val="00693DAC"/>
    <w:rsid w:val="006A17B2"/>
    <w:rsid w:val="006A51F2"/>
    <w:rsid w:val="0076498C"/>
    <w:rsid w:val="007B37F7"/>
    <w:rsid w:val="007E4F19"/>
    <w:rsid w:val="007F4C44"/>
    <w:rsid w:val="0080601E"/>
    <w:rsid w:val="008362E8"/>
    <w:rsid w:val="00841D7B"/>
    <w:rsid w:val="008C73B6"/>
    <w:rsid w:val="008D73C0"/>
    <w:rsid w:val="008F4936"/>
    <w:rsid w:val="00941869"/>
    <w:rsid w:val="009B1A4F"/>
    <w:rsid w:val="009C246E"/>
    <w:rsid w:val="00A77255"/>
    <w:rsid w:val="00AE1618"/>
    <w:rsid w:val="00AF4EB3"/>
    <w:rsid w:val="00BD72F6"/>
    <w:rsid w:val="00CD58E7"/>
    <w:rsid w:val="00CF0001"/>
    <w:rsid w:val="00D36320"/>
    <w:rsid w:val="00DE02E2"/>
    <w:rsid w:val="00E164AF"/>
    <w:rsid w:val="00E22FD7"/>
    <w:rsid w:val="00E30C35"/>
    <w:rsid w:val="00EB5040"/>
    <w:rsid w:val="00EF7EC2"/>
    <w:rsid w:val="00F37722"/>
    <w:rsid w:val="00F67838"/>
    <w:rsid w:val="00FC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chartTrackingRefBased/>
  <w15:docId w15:val="{D6D4F203-3CD8-4DE9-B0AC-6F1FA3BA9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13254"/>
    <w:pPr>
      <w:keepNext/>
      <w:suppressAutoHyphens/>
      <w:spacing w:after="0" w:line="240" w:lineRule="auto"/>
      <w:outlineLvl w:val="0"/>
    </w:pPr>
    <w:rPr>
      <w:rFonts w:ascii="Arial" w:eastAsia="Times New Roman" w:hAnsi="Arial" w:cs="Times New Roman"/>
      <w:sz w:val="36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3254"/>
    <w:pPr>
      <w:suppressAutoHyphens/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1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B1A4F"/>
  </w:style>
  <w:style w:type="paragraph" w:styleId="Stopka">
    <w:name w:val="footer"/>
    <w:basedOn w:val="Normalny"/>
    <w:link w:val="StopkaZnak"/>
    <w:uiPriority w:val="99"/>
    <w:unhideWhenUsed/>
    <w:rsid w:val="009B1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9B1A4F"/>
  </w:style>
  <w:style w:type="paragraph" w:styleId="Akapitzlist">
    <w:name w:val="List Paragraph"/>
    <w:basedOn w:val="Normalny"/>
    <w:uiPriority w:val="34"/>
    <w:qFormat/>
    <w:rsid w:val="00D3632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qFormat/>
    <w:rsid w:val="00213254"/>
    <w:rPr>
      <w:rFonts w:ascii="Arial" w:eastAsia="Times New Roman" w:hAnsi="Arial" w:cs="Times New Roman"/>
      <w:sz w:val="36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13254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13254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13254"/>
    <w:rPr>
      <w:rFonts w:ascii="Segoe UI" w:hAnsi="Segoe UI" w:cs="Segoe U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213254"/>
    <w:rPr>
      <w:rFonts w:ascii="Arial" w:hAnsi="Arial"/>
      <w:sz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213254"/>
    <w:rPr>
      <w:lang w:val="x-none" w:eastAsia="ar-SA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qFormat/>
    <w:rsid w:val="00213254"/>
    <w:rPr>
      <w:rFonts w:cs="Calibri"/>
      <w:lang w:val="x-none" w:eastAsia="ar-SA"/>
    </w:rPr>
  </w:style>
  <w:style w:type="character" w:customStyle="1" w:styleId="NagwekZnak1">
    <w:name w:val="Nagłówek Znak1"/>
    <w:basedOn w:val="Domylnaczcionkaakapitu"/>
    <w:uiPriority w:val="99"/>
    <w:semiHidden/>
    <w:rsid w:val="00213254"/>
  </w:style>
  <w:style w:type="paragraph" w:styleId="Tekstpodstawowy">
    <w:name w:val="Body Text"/>
    <w:basedOn w:val="Normalny"/>
    <w:link w:val="TekstpodstawowyZnak"/>
    <w:uiPriority w:val="99"/>
    <w:rsid w:val="00213254"/>
    <w:pPr>
      <w:suppressAutoHyphens/>
      <w:spacing w:after="0" w:line="360" w:lineRule="auto"/>
      <w:jc w:val="both"/>
    </w:pPr>
    <w:rPr>
      <w:rFonts w:ascii="Arial" w:hAnsi="Arial"/>
      <w:sz w:val="24"/>
      <w:lang w:val="x-none"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213254"/>
  </w:style>
  <w:style w:type="paragraph" w:styleId="Lista">
    <w:name w:val="List"/>
    <w:basedOn w:val="Tekstpodstawowy"/>
    <w:rsid w:val="00213254"/>
    <w:rPr>
      <w:rFonts w:cs="Arial"/>
    </w:rPr>
  </w:style>
  <w:style w:type="paragraph" w:styleId="Legenda">
    <w:name w:val="caption"/>
    <w:basedOn w:val="Normalny"/>
    <w:qFormat/>
    <w:rsid w:val="0021325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213254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21325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semiHidden/>
    <w:rsid w:val="00213254"/>
  </w:style>
  <w:style w:type="paragraph" w:styleId="Tekstdymka">
    <w:name w:val="Balloon Text"/>
    <w:basedOn w:val="Normalny"/>
    <w:link w:val="TekstdymkaZnak"/>
    <w:uiPriority w:val="99"/>
    <w:semiHidden/>
    <w:qFormat/>
    <w:rsid w:val="00213254"/>
    <w:pPr>
      <w:suppressAutoHyphens/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uiPriority w:val="99"/>
    <w:semiHidden/>
    <w:rsid w:val="00213254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rsid w:val="00213254"/>
    <w:pPr>
      <w:suppressAutoHyphens/>
      <w:spacing w:after="0" w:line="240" w:lineRule="auto"/>
    </w:pPr>
    <w:rPr>
      <w:lang w:val="x-none" w:eastAsia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213254"/>
  </w:style>
  <w:style w:type="paragraph" w:styleId="Tekstpodstawowyzwciciem2">
    <w:name w:val="Body Text First Indent 2"/>
    <w:basedOn w:val="Tekstpodstawowywcity"/>
    <w:link w:val="Tekstpodstawowyzwciciem2Znak"/>
    <w:uiPriority w:val="99"/>
    <w:qFormat/>
    <w:rsid w:val="00213254"/>
    <w:pPr>
      <w:suppressAutoHyphens w:val="0"/>
      <w:spacing w:after="120"/>
      <w:ind w:left="283" w:firstLine="210"/>
    </w:pPr>
    <w:rPr>
      <w:rFonts w:cs="Calibri"/>
    </w:rPr>
  </w:style>
  <w:style w:type="character" w:customStyle="1" w:styleId="Tekstpodstawowyzwciciem2Znak1">
    <w:name w:val="Tekst podstawowy z wcięciem 2 Znak1"/>
    <w:basedOn w:val="TekstpodstawowywcityZnak1"/>
    <w:uiPriority w:val="99"/>
    <w:semiHidden/>
    <w:rsid w:val="00213254"/>
  </w:style>
  <w:style w:type="table" w:styleId="Tabela-Siatka">
    <w:name w:val="Table Grid"/>
    <w:basedOn w:val="Standardowy"/>
    <w:uiPriority w:val="39"/>
    <w:rsid w:val="0021325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842E6-3BCA-4E48-90EC-E8AB54EB0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1336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Rybińska</dc:creator>
  <cp:keywords/>
  <dc:description/>
  <cp:lastModifiedBy>Wioletta Rybińska</cp:lastModifiedBy>
  <cp:revision>6</cp:revision>
  <cp:lastPrinted>2025-09-05T05:08:00Z</cp:lastPrinted>
  <dcterms:created xsi:type="dcterms:W3CDTF">2025-09-02T06:57:00Z</dcterms:created>
  <dcterms:modified xsi:type="dcterms:W3CDTF">2025-12-10T12:25:00Z</dcterms:modified>
</cp:coreProperties>
</file>